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0C" w:rsidRPr="000B6844" w:rsidRDefault="00F7590C" w:rsidP="009941A5">
      <w:pPr>
        <w:tabs>
          <w:tab w:val="left" w:pos="598"/>
        </w:tabs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A18D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П.11</w:t>
      </w:r>
      <w:r w:rsidRPr="000B6844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 «е»  Информация о порядке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</w:r>
    </w:p>
    <w:p w:rsidR="00F7590C" w:rsidRPr="000B6844" w:rsidRDefault="00F7590C" w:rsidP="00F7590C">
      <w:pPr>
        <w:tabs>
          <w:tab w:val="left" w:pos="598"/>
        </w:tabs>
        <w:spacing w:before="100" w:beforeAutospacing="1" w:after="100" w:afterAutospacing="1" w:line="240" w:lineRule="auto"/>
        <w:ind w:right="350"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B684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Подключение электроустановок потребителей к электрическим сетям </w:t>
      </w:r>
      <w:r w:rsidRPr="007A18D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АО «</w:t>
      </w:r>
      <w:proofErr w:type="spellStart"/>
      <w:r w:rsidRPr="007A18D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Саратовстройстекло</w:t>
      </w:r>
      <w:proofErr w:type="spellEnd"/>
      <w:r w:rsidRPr="007A18D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»</w:t>
      </w:r>
      <w:r w:rsidRPr="000B684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выполняется в соответствии «Правилами технологического присоединения </w:t>
      </w:r>
      <w:proofErr w:type="spellStart"/>
      <w:r w:rsidRPr="000B684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энергопринимающих</w:t>
      </w:r>
      <w:proofErr w:type="spellEnd"/>
      <w:r w:rsidRPr="000B684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утверждёнными Постановлением Правительства РФ №861 от 27 декабря 2004 г., (с изменениями и дополнениями от 31 августа 2006 г., 21 марта, 26</w:t>
      </w:r>
      <w:proofErr w:type="gramEnd"/>
      <w:r w:rsidRPr="000B684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0B684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июля 2007 г., 14 февраля, 21 апреля, 15 июня, 2 октября 2009 г., 3 марта, 15 мая, 9 июня, 24 сентября 2010 г., 1 марта, 29 декабря 2011 г.,  4 мая, 5 октября, 22 ноября, 20 декабря 2012 г., 26 июля, 12, 26 августа, 12, 28 октября, 21 ноября 2013 г., 10 февраля 2014 г., 20 февраля 2014, 11 июня</w:t>
      </w:r>
      <w:proofErr w:type="gramEnd"/>
      <w:r w:rsidRPr="000B684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0B684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2014, 31 июля 2014 г., 13 марта, 13 апреля, 11 июня, 7 июля, 4, 30 сентября 2015 г.), (далее по тексту Правила).</w:t>
      </w:r>
      <w:proofErr w:type="gramEnd"/>
    </w:p>
    <w:p w:rsidR="00F7590C" w:rsidRPr="009941A5" w:rsidRDefault="00F7590C" w:rsidP="009941A5">
      <w:pPr>
        <w:tabs>
          <w:tab w:val="left" w:pos="851"/>
        </w:tabs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  <w:lang w:eastAsia="ru-RU"/>
        </w:rPr>
      </w:pPr>
      <w:r w:rsidRPr="000B6844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  <w:lang w:eastAsia="ru-RU"/>
        </w:rPr>
        <w:t xml:space="preserve">Порядок выполнения технологических, технических и других мероприятий, связанных с технологическим присоединением к электрическим сетям </w:t>
      </w:r>
      <w:r w:rsidRPr="009941A5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  <w:lang w:eastAsia="ru-RU"/>
        </w:rPr>
        <w:t>АО «</w:t>
      </w:r>
      <w:proofErr w:type="spellStart"/>
      <w:r w:rsidRPr="009941A5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  <w:lang w:eastAsia="ru-RU"/>
        </w:rPr>
        <w:t>Саратовстройстекло</w:t>
      </w:r>
      <w:proofErr w:type="spellEnd"/>
      <w:r w:rsidRPr="009941A5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  <w:lang w:eastAsia="ru-RU"/>
        </w:rPr>
        <w:t>»</w:t>
      </w:r>
    </w:p>
    <w:p w:rsidR="00F7590C" w:rsidRPr="009941A5" w:rsidRDefault="00F7590C" w:rsidP="009941A5">
      <w:pPr>
        <w:pStyle w:val="a3"/>
        <w:tabs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bookmarkStart w:id="0" w:name="sub_40182"/>
      <w:bookmarkStart w:id="1" w:name="sub_4073"/>
      <w:bookmarkEnd w:id="0"/>
    </w:p>
    <w:p w:rsidR="00F7590C" w:rsidRPr="009941A5" w:rsidRDefault="00F7590C" w:rsidP="009941A5">
      <w:pPr>
        <w:pStyle w:val="a3"/>
        <w:numPr>
          <w:ilvl w:val="0"/>
          <w:numId w:val="2"/>
        </w:numPr>
        <w:tabs>
          <w:tab w:val="left" w:pos="634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Подача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</w:r>
      <w:proofErr w:type="spellStart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энергопринимающих</w:t>
      </w:r>
      <w:proofErr w:type="spellEnd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устройств и</w:t>
      </w:r>
      <w:r w:rsidR="00446F64" w:rsidRPr="00446F64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(</w:t>
      </w:r>
      <w:r w:rsidR="00446F64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или)</w:t>
      </w:r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увеличение объема максимальной мощности, точки присоединения</w:t>
      </w:r>
      <w:bookmarkStart w:id="2" w:name="sub_4072"/>
      <w:bookmarkEnd w:id="1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.</w:t>
      </w:r>
    </w:p>
    <w:p w:rsidR="00F7590C" w:rsidRPr="009941A5" w:rsidRDefault="00F7590C" w:rsidP="009941A5">
      <w:pPr>
        <w:pStyle w:val="a3"/>
        <w:numPr>
          <w:ilvl w:val="0"/>
          <w:numId w:val="2"/>
        </w:numPr>
        <w:tabs>
          <w:tab w:val="left" w:pos="634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Подготовка и направление Заявителю проекта </w:t>
      </w:r>
      <w:proofErr w:type="gramStart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договора</w:t>
      </w:r>
      <w:proofErr w:type="gramEnd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об осуществлении технологического присоединения включая технические условия</w:t>
      </w:r>
      <w:bookmarkEnd w:id="2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.</w:t>
      </w:r>
    </w:p>
    <w:p w:rsidR="00F7590C" w:rsidRPr="009941A5" w:rsidRDefault="00F7590C" w:rsidP="009941A5">
      <w:pPr>
        <w:pStyle w:val="a3"/>
        <w:numPr>
          <w:ilvl w:val="0"/>
          <w:numId w:val="2"/>
        </w:numPr>
        <w:tabs>
          <w:tab w:val="left" w:pos="634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Заключение договора об осуществлении технологического присоединения.</w:t>
      </w:r>
    </w:p>
    <w:p w:rsidR="00F7590C" w:rsidRPr="009941A5" w:rsidRDefault="00F7590C" w:rsidP="009941A5">
      <w:pPr>
        <w:pStyle w:val="a3"/>
        <w:numPr>
          <w:ilvl w:val="0"/>
          <w:numId w:val="2"/>
        </w:numPr>
        <w:tabs>
          <w:tab w:val="left" w:pos="634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Разработка Сетевой организацией проектной документации согласно обязательствам, предусм</w:t>
      </w:r>
      <w:bookmarkStart w:id="3" w:name="sub_40183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отренным техническими условиями.</w:t>
      </w:r>
    </w:p>
    <w:p w:rsidR="00F7590C" w:rsidRPr="009941A5" w:rsidRDefault="00F7590C" w:rsidP="009941A5">
      <w:pPr>
        <w:pStyle w:val="a3"/>
        <w:numPr>
          <w:ilvl w:val="0"/>
          <w:numId w:val="2"/>
        </w:numPr>
        <w:tabs>
          <w:tab w:val="left" w:pos="634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 соответствии с законодательством Российской Федерации о градостроительной деятельности разработка проектной документации не является обязательной</w:t>
      </w:r>
      <w:bookmarkEnd w:id="3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.</w:t>
      </w:r>
      <w:bookmarkStart w:id="4" w:name="sub_40184"/>
    </w:p>
    <w:p w:rsidR="00F7590C" w:rsidRPr="009941A5" w:rsidRDefault="00F7590C" w:rsidP="009941A5">
      <w:pPr>
        <w:pStyle w:val="a3"/>
        <w:numPr>
          <w:ilvl w:val="0"/>
          <w:numId w:val="2"/>
        </w:numPr>
        <w:tabs>
          <w:tab w:val="left" w:pos="634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энергопринимающих</w:t>
      </w:r>
      <w:proofErr w:type="spellEnd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устройств под действие аппаратуры противоаварийной и режимной автоматики в соответствии с техническими условиями</w:t>
      </w:r>
      <w:bookmarkEnd w:id="4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.</w:t>
      </w:r>
    </w:p>
    <w:p w:rsidR="00F7590C" w:rsidRPr="009941A5" w:rsidRDefault="00F7590C" w:rsidP="009941A5">
      <w:pPr>
        <w:pStyle w:val="a3"/>
        <w:numPr>
          <w:ilvl w:val="0"/>
          <w:numId w:val="2"/>
        </w:numPr>
        <w:tabs>
          <w:tab w:val="left" w:pos="634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proofErr w:type="gramStart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Проверку Сетевой организацией выполнения Заявителем технических условий (с оформлением по результатам такой проверки акта о выполнении Заявителем технических условий, согласованного с соответствующим субъектом оперативно-диспетчерского управления в случае, если технические условия в соответствии с Правилами подлежат согласованию с таким субъектом оперативно-диспетчерского управления), за исключением заявителей, указанных в </w:t>
      </w:r>
      <w:hyperlink r:id="rId6" w:anchor="sub_4121" w:history="1">
        <w:r w:rsidRPr="009941A5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lang w:eastAsia="ru-RU"/>
          </w:rPr>
          <w:t>пунктах 12.1</w:t>
        </w:r>
      </w:hyperlink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, </w:t>
      </w:r>
      <w:hyperlink r:id="rId7" w:anchor="sub_4013" w:history="1">
        <w:r w:rsidRPr="009941A5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lang w:eastAsia="ru-RU"/>
          </w:rPr>
          <w:t>13</w:t>
        </w:r>
      </w:hyperlink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и </w:t>
      </w:r>
      <w:hyperlink r:id="rId8" w:anchor="sub_4014" w:history="1">
        <w:r w:rsidRPr="009941A5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lang w:eastAsia="ru-RU"/>
          </w:rPr>
          <w:t>14</w:t>
        </w:r>
      </w:hyperlink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Правил, а также допуск в эксплуатацию установленного в процессе</w:t>
      </w:r>
      <w:proofErr w:type="gramEnd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технологического присоединения прибора учета электрической энергии, </w:t>
      </w:r>
      <w:proofErr w:type="gramStart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включающий</w:t>
      </w:r>
      <w:proofErr w:type="gramEnd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составление акта допуска прибора учета в эксплуатацию в порядке, предусмотренном </w:t>
      </w:r>
      <w:hyperlink r:id="rId9" w:history="1">
        <w:r w:rsidRPr="009941A5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lang w:eastAsia="ru-RU"/>
          </w:rPr>
          <w:t>Основными положениями</w:t>
        </w:r>
      </w:hyperlink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функционирования розничных рынков электрической энергии.</w:t>
      </w:r>
    </w:p>
    <w:p w:rsidR="00F7590C" w:rsidRPr="009941A5" w:rsidRDefault="00F7590C" w:rsidP="009941A5">
      <w:pPr>
        <w:pStyle w:val="a3"/>
        <w:numPr>
          <w:ilvl w:val="0"/>
          <w:numId w:val="2"/>
        </w:numPr>
        <w:tabs>
          <w:tab w:val="left" w:pos="634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</w:t>
      </w:r>
      <w:proofErr w:type="gramStart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Осмотр (обследование) присоединяемых </w:t>
      </w:r>
      <w:proofErr w:type="spellStart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энергопринимающих</w:t>
      </w:r>
      <w:proofErr w:type="spellEnd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Правилами согласованию с таким субъектом оперативно-диспетчерского управления (для лиц, указанных в </w:t>
      </w:r>
      <w:hyperlink r:id="rId10" w:anchor="sub_4012" w:history="1">
        <w:r w:rsidRPr="009941A5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lang w:eastAsia="ru-RU"/>
          </w:rPr>
          <w:t>пункте 12</w:t>
        </w:r>
      </w:hyperlink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Правил, в случае осуществления технологического присоединения </w:t>
      </w:r>
      <w:proofErr w:type="spellStart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энергопринимающих</w:t>
      </w:r>
      <w:proofErr w:type="spellEnd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устройств указанных Заявителей по третьей</w:t>
      </w:r>
      <w:proofErr w:type="gramEnd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категории надежности (по одному источнику электроснабжения к электрическим сетям классом напряжения до 10 </w:t>
      </w:r>
      <w:proofErr w:type="spellStart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кВ</w:t>
      </w:r>
      <w:proofErr w:type="spellEnd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включительно, а также для лиц, указанных в </w:t>
      </w:r>
      <w:hyperlink r:id="rId11" w:anchor="sub_4121" w:history="1">
        <w:r w:rsidRPr="009941A5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lang w:eastAsia="ru-RU"/>
          </w:rPr>
          <w:t>пунктах 12.1</w:t>
        </w:r>
      </w:hyperlink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, </w:t>
      </w:r>
      <w:hyperlink r:id="rId12" w:anchor="sub_4013" w:history="1">
        <w:r w:rsidRPr="009941A5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lang w:eastAsia="ru-RU"/>
          </w:rPr>
          <w:t>13</w:t>
        </w:r>
      </w:hyperlink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и </w:t>
      </w:r>
      <w:hyperlink r:id="rId13" w:anchor="sub_4014" w:history="1">
        <w:r w:rsidRPr="009941A5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lang w:eastAsia="ru-RU"/>
          </w:rPr>
          <w:t>14</w:t>
        </w:r>
      </w:hyperlink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Правил, осмотр присоединяемых электроустановок Заявителя, включая вводные распределительные устройства, должен осуществляться Сетевой организацией с участием Заявителя), с выдачей акта осмотра (обследования) </w:t>
      </w:r>
      <w:proofErr w:type="spellStart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энергопринимающих</w:t>
      </w:r>
      <w:proofErr w:type="spellEnd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устройств Заявителя.</w:t>
      </w:r>
    </w:p>
    <w:p w:rsidR="00F7590C" w:rsidRPr="009941A5" w:rsidRDefault="00F7590C" w:rsidP="009941A5">
      <w:pPr>
        <w:pStyle w:val="a3"/>
        <w:numPr>
          <w:ilvl w:val="0"/>
          <w:numId w:val="2"/>
        </w:numPr>
        <w:tabs>
          <w:tab w:val="left" w:pos="634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Осуществление сетевой организацией фактического присоединения объектов заявителя к электрическим сетям. Для целей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энергопринимающих</w:t>
      </w:r>
      <w:proofErr w:type="spellEnd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устройств) без осуществления фактической подачи (приема) напряжения и мощности на объекты заявителя (фиксация коммутационного ап</w:t>
      </w:r>
      <w:bookmarkStart w:id="5" w:name="sub_40742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парата в положении "отключено").</w:t>
      </w:r>
    </w:p>
    <w:p w:rsidR="00F7590C" w:rsidRPr="009941A5" w:rsidRDefault="00F7590C" w:rsidP="009941A5">
      <w:pPr>
        <w:pStyle w:val="a3"/>
        <w:numPr>
          <w:ilvl w:val="0"/>
          <w:numId w:val="2"/>
        </w:numPr>
        <w:tabs>
          <w:tab w:val="left" w:pos="634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 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</w:t>
      </w:r>
      <w:bookmarkEnd w:id="5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.</w:t>
      </w:r>
    </w:p>
    <w:p w:rsidR="00F7590C" w:rsidRDefault="00F7590C" w:rsidP="009941A5">
      <w:pPr>
        <w:pStyle w:val="a3"/>
        <w:numPr>
          <w:ilvl w:val="0"/>
          <w:numId w:val="2"/>
        </w:numPr>
        <w:tabs>
          <w:tab w:val="left" w:pos="634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proofErr w:type="gramStart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Составление акта об осуществлении технологического присоединения по форме согласно </w:t>
      </w:r>
      <w:hyperlink r:id="rId14" w:anchor="sub_46000" w:history="1">
        <w:r w:rsidRPr="009941A5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lang w:eastAsia="ru-RU"/>
          </w:rPr>
          <w:t>приложению N 1</w:t>
        </w:r>
      </w:hyperlink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Правил (далее - акт об осуществлении технологического присоединения), акта разграничения границ балансовой принадлежности сторон по форме согласно </w:t>
      </w:r>
      <w:hyperlink r:id="rId15" w:anchor="sub_47000" w:history="1">
        <w:r w:rsidRPr="009941A5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lang w:eastAsia="ru-RU"/>
          </w:rPr>
          <w:t>приложению N 2</w:t>
        </w:r>
      </w:hyperlink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Правил (далее - акт разграничения границ балансовой принадлежности сторон), акта разграничения эксплуатационной ответственности сторон по форме согласно </w:t>
      </w:r>
      <w:hyperlink r:id="rId16" w:anchor="sub_48000" w:history="1">
        <w:r w:rsidRPr="009941A5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lang w:eastAsia="ru-RU"/>
          </w:rPr>
          <w:t>приложению N 3</w:t>
        </w:r>
      </w:hyperlink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Правил (далее - акт разграничения эксплуатационной ответственности сторон), а также акта</w:t>
      </w:r>
      <w:proofErr w:type="gramEnd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согласования технологической и (или) аварийной брони (для заявителей, указанных в </w:t>
      </w:r>
      <w:hyperlink r:id="rId17" w:anchor="sub_401402" w:history="1">
        <w:r w:rsidRPr="009941A5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lang w:eastAsia="ru-RU"/>
          </w:rPr>
          <w:t>пункте 14.2</w:t>
        </w:r>
      </w:hyperlink>
      <w:bookmarkStart w:id="6" w:name="sub_401625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Правил)</w:t>
      </w:r>
      <w:r w:rsidR="00F71A47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.</w:t>
      </w:r>
    </w:p>
    <w:p w:rsidR="00446F64" w:rsidRDefault="00446F64" w:rsidP="00446F64">
      <w:pPr>
        <w:pStyle w:val="a3"/>
        <w:tabs>
          <w:tab w:val="left" w:pos="634"/>
          <w:tab w:val="left" w:pos="851"/>
          <w:tab w:val="left" w:pos="984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</w:p>
    <w:p w:rsidR="00446F64" w:rsidRDefault="00446F64" w:rsidP="00446F64">
      <w:pPr>
        <w:pStyle w:val="a3"/>
        <w:tabs>
          <w:tab w:val="left" w:pos="634"/>
          <w:tab w:val="left" w:pos="851"/>
          <w:tab w:val="left" w:pos="984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</w:p>
    <w:p w:rsidR="00446F64" w:rsidRDefault="00446F64" w:rsidP="00446F64">
      <w:pPr>
        <w:pStyle w:val="a3"/>
        <w:tabs>
          <w:tab w:val="left" w:pos="0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</w:pPr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 xml:space="preserve">П.11 е 1) Подача заявки на технологическое присоединение </w:t>
      </w:r>
      <w:proofErr w:type="spellStart"/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>энергопринимающего</w:t>
      </w:r>
      <w:proofErr w:type="spellEnd"/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 xml:space="preserve"> устройства к сетям </w:t>
      </w:r>
      <w:r w:rsidR="00C3624C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br/>
      </w:r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>АО «</w:t>
      </w:r>
      <w:proofErr w:type="spellStart"/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>Саратовстройстекло</w:t>
      </w:r>
      <w:proofErr w:type="spellEnd"/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 xml:space="preserve">» можно осуществить путем обращения в </w:t>
      </w:r>
      <w:r w:rsidR="00C3624C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>цех 77</w:t>
      </w:r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 xml:space="preserve"> либо позвонив по телефону 305-5</w:t>
      </w:r>
      <w:r w:rsidR="00C3624C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>2</w:t>
      </w:r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>3,305-301.</w:t>
      </w:r>
    </w:p>
    <w:p w:rsidR="00446F64" w:rsidRPr="00446F64" w:rsidRDefault="00446F64" w:rsidP="00446F64">
      <w:pPr>
        <w:pStyle w:val="a3"/>
        <w:tabs>
          <w:tab w:val="left" w:pos="0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</w:pPr>
    </w:p>
    <w:p w:rsidR="00446F64" w:rsidRPr="00446F64" w:rsidRDefault="00446F64" w:rsidP="00446F64">
      <w:pPr>
        <w:pStyle w:val="a3"/>
        <w:tabs>
          <w:tab w:val="left" w:pos="0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</w:pPr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 xml:space="preserve">П.11 е 2)Об основных этапах обработки заявки на технологическое присоединение, включая информацию о дате поступления заявке и ее регистрационном номере, о направлении в адрес заявителя подписанного со стороны сетевой организации договора на </w:t>
      </w:r>
      <w:proofErr w:type="spellStart"/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>техприсоединение</w:t>
      </w:r>
      <w:proofErr w:type="spellEnd"/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>, о технических условиях, о ходе выполнения работ по технологическому присоединению и т.д. можно узн</w:t>
      </w:r>
      <w:r w:rsidR="00C3624C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>ать</w:t>
      </w:r>
      <w:proofErr w:type="gramStart"/>
      <w:r w:rsidR="00C3624C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 xml:space="preserve"> ,</w:t>
      </w:r>
      <w:proofErr w:type="gramEnd"/>
      <w:r w:rsidR="00C3624C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 xml:space="preserve"> позвонив по тел.: 305-301,305-523.</w:t>
      </w:r>
      <w:bookmarkStart w:id="7" w:name="_GoBack"/>
      <w:bookmarkEnd w:id="7"/>
    </w:p>
    <w:bookmarkEnd w:id="6"/>
    <w:sectPr w:rsidR="00446F64" w:rsidRPr="0044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D6B"/>
    <w:multiLevelType w:val="hybridMultilevel"/>
    <w:tmpl w:val="3EA49FF8"/>
    <w:lvl w:ilvl="0" w:tplc="87461DA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>
    <w:nsid w:val="36E53DCC"/>
    <w:multiLevelType w:val="hybridMultilevel"/>
    <w:tmpl w:val="FF96C12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0C"/>
    <w:rsid w:val="003C576D"/>
    <w:rsid w:val="00446F64"/>
    <w:rsid w:val="00990328"/>
    <w:rsid w:val="009941A5"/>
    <w:rsid w:val="00AC6C09"/>
    <w:rsid w:val="00C3624C"/>
    <w:rsid w:val="00F71A47"/>
    <w:rsid w:val="00F7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s.ru/stand_2016_5.php" TargetMode="External"/><Relationship Id="rId13" Type="http://schemas.openxmlformats.org/officeDocument/2006/relationships/hyperlink" Target="http://www.spgs.ru/stand_2016_5.php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gs.ru/stand_2016_5.php" TargetMode="External"/><Relationship Id="rId12" Type="http://schemas.openxmlformats.org/officeDocument/2006/relationships/hyperlink" Target="http://www.spgs.ru/stand_2016_5.php" TargetMode="External"/><Relationship Id="rId17" Type="http://schemas.openxmlformats.org/officeDocument/2006/relationships/hyperlink" Target="http://www.spgs.ru/stand_2016_5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gs.ru/stand_2016_5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pgs.ru/stand_2016_5.php" TargetMode="External"/><Relationship Id="rId11" Type="http://schemas.openxmlformats.org/officeDocument/2006/relationships/hyperlink" Target="http://www.spgs.ru/stand_2016_5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gs.ru/stand_2016_5.php" TargetMode="External"/><Relationship Id="rId10" Type="http://schemas.openxmlformats.org/officeDocument/2006/relationships/hyperlink" Target="http://www.spgs.ru/stand_2016_5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083216.1000/" TargetMode="External"/><Relationship Id="rId14" Type="http://schemas.openxmlformats.org/officeDocument/2006/relationships/hyperlink" Target="http://www.spgs.ru/stand_2016_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Наталья Александровна</dc:creator>
  <cp:lastModifiedBy>Тюкаева Наталья Александровна</cp:lastModifiedBy>
  <cp:revision>3</cp:revision>
  <dcterms:created xsi:type="dcterms:W3CDTF">2019-02-13T09:26:00Z</dcterms:created>
  <dcterms:modified xsi:type="dcterms:W3CDTF">2019-02-13T09:26:00Z</dcterms:modified>
</cp:coreProperties>
</file>