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b/>
          <w:color w:val="000000"/>
          <w:sz w:val="17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17"/>
        </w:rPr>
        <w:t>АО «Саратовстройстекло»</w:t>
      </w:r>
    </w:p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7"/>
        </w:rPr>
      </w:pPr>
      <w:r>
        <w:rPr>
          <w:rFonts w:ascii="Tahoma" w:eastAsia="Tahoma" w:hAnsi="Tahoma" w:cs="Tahoma"/>
          <w:b/>
          <w:color w:val="000000"/>
          <w:sz w:val="17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года № 861, в разбивке по уровням напряжения</w:t>
      </w:r>
    </w:p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7"/>
        </w:rPr>
      </w:pPr>
      <w:r>
        <w:rPr>
          <w:rFonts w:ascii="Tahoma" w:eastAsia="Tahoma" w:hAnsi="Tahoma" w:cs="Tahoma"/>
          <w:b/>
          <w:color w:val="000000"/>
          <w:sz w:val="17"/>
          <w:u w:val="single"/>
        </w:rPr>
        <w:t>за I квартал 2021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3975"/>
      </w:tblGrid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Уровень напряжения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Резервируемая мощность, МВт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ВН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СН-2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НН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2</w:t>
            </w:r>
          </w:p>
        </w:tc>
      </w:tr>
    </w:tbl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7"/>
        </w:rPr>
      </w:pPr>
      <w:r>
        <w:rPr>
          <w:rFonts w:ascii="Tahoma" w:eastAsia="Tahoma" w:hAnsi="Tahoma" w:cs="Tahoma"/>
          <w:b/>
          <w:color w:val="000000"/>
          <w:sz w:val="17"/>
          <w:u w:val="single"/>
        </w:rPr>
        <w:t>за II квартал 2021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3975"/>
      </w:tblGrid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Уровень напряжения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Резервируемая мощность, МВт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ВН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СН-2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НН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2</w:t>
            </w:r>
          </w:p>
        </w:tc>
      </w:tr>
    </w:tbl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7"/>
        </w:rPr>
      </w:pPr>
      <w:r>
        <w:rPr>
          <w:rFonts w:ascii="Tahoma" w:eastAsia="Tahoma" w:hAnsi="Tahoma" w:cs="Tahoma"/>
          <w:b/>
          <w:color w:val="000000"/>
          <w:sz w:val="17"/>
          <w:u w:val="single"/>
        </w:rPr>
        <w:t>за III квартал 2021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3975"/>
      </w:tblGrid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Уровень напряжения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Резервируемая мощность, МВт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ВН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СН-2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НН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2</w:t>
            </w:r>
          </w:p>
        </w:tc>
      </w:tr>
    </w:tbl>
    <w:p w:rsidR="009D4077" w:rsidRDefault="00263F18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7"/>
        </w:rPr>
      </w:pPr>
      <w:r>
        <w:rPr>
          <w:rFonts w:ascii="Tahoma" w:eastAsia="Tahoma" w:hAnsi="Tahoma" w:cs="Tahoma"/>
          <w:b/>
          <w:color w:val="000000"/>
          <w:sz w:val="17"/>
          <w:u w:val="single"/>
        </w:rPr>
        <w:t>за IV квартал 2021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3975"/>
      </w:tblGrid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Уровень напряжения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Резервируемая мощность, МВт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ВН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СН-2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0</w:t>
            </w:r>
          </w:p>
        </w:tc>
      </w:tr>
      <w:tr w:rsidR="009D4077">
        <w:trPr>
          <w:trHeight w:val="1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НН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D4077" w:rsidRDefault="00263F18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7"/>
              </w:rPr>
              <w:t> 2</w:t>
            </w:r>
          </w:p>
        </w:tc>
      </w:tr>
    </w:tbl>
    <w:p w:rsidR="009D4077" w:rsidRDefault="009D4077">
      <w:pPr>
        <w:spacing w:after="200" w:line="276" w:lineRule="auto"/>
        <w:rPr>
          <w:rFonts w:ascii="Calibri" w:eastAsia="Calibri" w:hAnsi="Calibri" w:cs="Calibri"/>
        </w:rPr>
      </w:pPr>
    </w:p>
    <w:sectPr w:rsidR="009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7"/>
    <w:rsid w:val="000456FC"/>
    <w:rsid w:val="00263F18"/>
    <w:rsid w:val="009D4077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CE58-E966-4DA2-9ABC-97CC143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Бородуля Владимир Николаевич</cp:lastModifiedBy>
  <cp:revision>2</cp:revision>
  <dcterms:created xsi:type="dcterms:W3CDTF">2021-02-12T04:27:00Z</dcterms:created>
  <dcterms:modified xsi:type="dcterms:W3CDTF">2021-02-12T04:27:00Z</dcterms:modified>
</cp:coreProperties>
</file>