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0C" w:rsidRPr="000B6844" w:rsidRDefault="00F7590C" w:rsidP="009941A5">
      <w:pPr>
        <w:tabs>
          <w:tab w:val="left" w:pos="598"/>
        </w:tabs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A18D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П.1</w:t>
      </w:r>
      <w:r w:rsidR="00F7089C" w:rsidRPr="00F7089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9</w:t>
      </w:r>
      <w:r w:rsidRPr="000B6844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 </w:t>
      </w:r>
      <w:r w:rsidR="00F7089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и.</w:t>
      </w:r>
      <w:bookmarkStart w:id="0" w:name="_GoBack"/>
      <w:bookmarkEnd w:id="0"/>
      <w:r w:rsidRPr="000B6844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  Информация о порядке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</w:r>
    </w:p>
    <w:p w:rsidR="00F7590C" w:rsidRPr="000B6844" w:rsidRDefault="00F7590C" w:rsidP="00F7590C">
      <w:pPr>
        <w:tabs>
          <w:tab w:val="left" w:pos="598"/>
        </w:tabs>
        <w:spacing w:before="100" w:beforeAutospacing="1" w:after="100" w:afterAutospacing="1" w:line="240" w:lineRule="auto"/>
        <w:ind w:right="350"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B684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Подключение электроустановок потребителей к электрическим сетям </w:t>
      </w:r>
      <w:r w:rsidRPr="007A18D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АО «</w:t>
      </w:r>
      <w:proofErr w:type="spellStart"/>
      <w:r w:rsidRPr="007A18D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Саратовстройстекло</w:t>
      </w:r>
      <w:proofErr w:type="spellEnd"/>
      <w:r w:rsidRPr="007A18D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»</w:t>
      </w:r>
      <w:r w:rsidRPr="000B684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выполняется в соответствии «Правилами технологического присоединения </w:t>
      </w:r>
      <w:proofErr w:type="spellStart"/>
      <w:r w:rsidRPr="000B684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энергопринимающих</w:t>
      </w:r>
      <w:proofErr w:type="spellEnd"/>
      <w:r w:rsidRPr="000B684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утверждёнными Постановлением Правительства РФ №861 от 27 декабря 2004 г., (с изменениями и дополнениями от 31 августа 2006 г., 21 марта, 26</w:t>
      </w:r>
      <w:proofErr w:type="gramEnd"/>
      <w:r w:rsidRPr="000B684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0B684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июля 2007 г., 14 февраля, 21 апреля, 15 июня, 2 октября 2009 г., 3 марта, 15 мая, 9 июня, 24 сентября 2010 г., 1 марта, 29 декабря 2011 г.,  4 мая, 5 октября, 22 ноября, 20 декабря 2012 г., 26 июля, 12, 26 августа, 12, 28 октября, 21 ноября 2013 г., 10 февраля 2014 г., 20 февраля 2014, 11 июня</w:t>
      </w:r>
      <w:proofErr w:type="gramEnd"/>
      <w:r w:rsidRPr="000B684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0B684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2014, 31 июля 2014 г., 13 марта, 13 апреля, 11 июня, 7 июля, 4, 30 сентября 2015 г.), (далее по тексту Правила).</w:t>
      </w:r>
      <w:proofErr w:type="gramEnd"/>
    </w:p>
    <w:p w:rsidR="00F7590C" w:rsidRPr="009941A5" w:rsidRDefault="00F7590C" w:rsidP="009941A5">
      <w:pPr>
        <w:tabs>
          <w:tab w:val="left" w:pos="851"/>
        </w:tabs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eastAsia="ru-RU"/>
        </w:rPr>
      </w:pPr>
      <w:r w:rsidRPr="000B6844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eastAsia="ru-RU"/>
        </w:rPr>
        <w:t xml:space="preserve">Порядок выполнения технологических, технических и других мероприятий, связанных с технологическим присоединением к электрическим сетям </w:t>
      </w:r>
      <w:r w:rsidRPr="009941A5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eastAsia="ru-RU"/>
        </w:rPr>
        <w:t>АО «</w:t>
      </w:r>
      <w:proofErr w:type="spellStart"/>
      <w:r w:rsidRPr="009941A5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eastAsia="ru-RU"/>
        </w:rPr>
        <w:t>Саратовстройстекло</w:t>
      </w:r>
      <w:proofErr w:type="spellEnd"/>
      <w:r w:rsidRPr="009941A5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eastAsia="ru-RU"/>
        </w:rPr>
        <w:t>»</w:t>
      </w:r>
    </w:p>
    <w:p w:rsidR="00F7590C" w:rsidRPr="009941A5" w:rsidRDefault="00F7590C" w:rsidP="009941A5">
      <w:pPr>
        <w:pStyle w:val="a3"/>
        <w:tabs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bookmarkStart w:id="1" w:name="sub_40182"/>
      <w:bookmarkStart w:id="2" w:name="sub_4073"/>
      <w:bookmarkEnd w:id="1"/>
    </w:p>
    <w:p w:rsidR="00F7590C" w:rsidRPr="009941A5" w:rsidRDefault="00F7590C" w:rsidP="009941A5">
      <w:pPr>
        <w:pStyle w:val="a3"/>
        <w:numPr>
          <w:ilvl w:val="0"/>
          <w:numId w:val="2"/>
        </w:numPr>
        <w:tabs>
          <w:tab w:val="left" w:pos="634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</w:r>
      <w:proofErr w:type="spell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энергопринимающих</w:t>
      </w:r>
      <w:proofErr w:type="spell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устройств и</w:t>
      </w:r>
      <w:r w:rsidR="00446F64" w:rsidRPr="00446F64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(</w:t>
      </w:r>
      <w:r w:rsidR="00446F64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или)</w:t>
      </w:r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увеличение объема максимальной мощности, точки присоединения</w:t>
      </w:r>
      <w:bookmarkStart w:id="3" w:name="sub_4072"/>
      <w:bookmarkEnd w:id="2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.</w:t>
      </w:r>
    </w:p>
    <w:p w:rsidR="00F7590C" w:rsidRPr="009941A5" w:rsidRDefault="00F7590C" w:rsidP="009941A5">
      <w:pPr>
        <w:pStyle w:val="a3"/>
        <w:numPr>
          <w:ilvl w:val="0"/>
          <w:numId w:val="2"/>
        </w:numPr>
        <w:tabs>
          <w:tab w:val="left" w:pos="634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Подготовка и направление Заявителю проекта </w:t>
      </w:r>
      <w:proofErr w:type="gram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договора</w:t>
      </w:r>
      <w:proofErr w:type="gram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об осуществлении технологического присоединения включая технические условия</w:t>
      </w:r>
      <w:bookmarkEnd w:id="3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.</w:t>
      </w:r>
    </w:p>
    <w:p w:rsidR="00F7590C" w:rsidRPr="009941A5" w:rsidRDefault="00F7590C" w:rsidP="009941A5">
      <w:pPr>
        <w:pStyle w:val="a3"/>
        <w:numPr>
          <w:ilvl w:val="0"/>
          <w:numId w:val="2"/>
        </w:numPr>
        <w:tabs>
          <w:tab w:val="left" w:pos="634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Заключение договора об осуществлении технологического присоединения.</w:t>
      </w:r>
    </w:p>
    <w:p w:rsidR="00F7590C" w:rsidRPr="009941A5" w:rsidRDefault="00F7590C" w:rsidP="009941A5">
      <w:pPr>
        <w:pStyle w:val="a3"/>
        <w:numPr>
          <w:ilvl w:val="0"/>
          <w:numId w:val="2"/>
        </w:numPr>
        <w:tabs>
          <w:tab w:val="left" w:pos="634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Разработка Сетевой организацией проектной документации согласно обязательствам, предусм</w:t>
      </w:r>
      <w:bookmarkStart w:id="4" w:name="sub_40183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отренным техническими условиями.</w:t>
      </w:r>
    </w:p>
    <w:p w:rsidR="00F7590C" w:rsidRPr="009941A5" w:rsidRDefault="00F7590C" w:rsidP="009941A5">
      <w:pPr>
        <w:pStyle w:val="a3"/>
        <w:numPr>
          <w:ilvl w:val="0"/>
          <w:numId w:val="2"/>
        </w:numPr>
        <w:tabs>
          <w:tab w:val="left" w:pos="634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 соответствии с законодательством Российской Федерации о градостроительной деятельности разработка проектной документации не является обязательной</w:t>
      </w:r>
      <w:bookmarkEnd w:id="4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.</w:t>
      </w:r>
      <w:bookmarkStart w:id="5" w:name="sub_40184"/>
    </w:p>
    <w:p w:rsidR="00F7590C" w:rsidRPr="009941A5" w:rsidRDefault="00F7590C" w:rsidP="009941A5">
      <w:pPr>
        <w:pStyle w:val="a3"/>
        <w:numPr>
          <w:ilvl w:val="0"/>
          <w:numId w:val="2"/>
        </w:numPr>
        <w:tabs>
          <w:tab w:val="left" w:pos="634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энергопринимающих</w:t>
      </w:r>
      <w:proofErr w:type="spell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устройств под действие аппаратуры противоаварийной и режимной автоматики в соответствии с техническими условиями</w:t>
      </w:r>
      <w:bookmarkEnd w:id="5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.</w:t>
      </w:r>
    </w:p>
    <w:p w:rsidR="00F7590C" w:rsidRPr="009941A5" w:rsidRDefault="00F7590C" w:rsidP="009941A5">
      <w:pPr>
        <w:pStyle w:val="a3"/>
        <w:numPr>
          <w:ilvl w:val="0"/>
          <w:numId w:val="2"/>
        </w:numPr>
        <w:tabs>
          <w:tab w:val="left" w:pos="634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proofErr w:type="gram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Проверку Сетевой организацией выполнения Заявителем технических условий (с оформлением по результатам такой проверки акта о выполнении Заявителем технических условий, согласованного с соответствующим субъектом оперативно-диспетчерского управления в случае, если технические условия в соответствии с Правилами подлежат согласованию с таким субъектом оперативно-диспетчерского управления), за исключением заявителей, указанных в </w:t>
      </w:r>
      <w:hyperlink r:id="rId6" w:anchor="sub_4121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пунктах 12.1</w:t>
        </w:r>
      </w:hyperlink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, </w:t>
      </w:r>
      <w:hyperlink r:id="rId7" w:anchor="sub_4013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13</w:t>
        </w:r>
      </w:hyperlink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и </w:t>
      </w:r>
      <w:hyperlink r:id="rId8" w:anchor="sub_4014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14</w:t>
        </w:r>
      </w:hyperlink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Правил, а также допуск в эксплуатацию установленного в процессе</w:t>
      </w:r>
      <w:proofErr w:type="gram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технологического присоединения прибора учета электрической энергии, </w:t>
      </w:r>
      <w:proofErr w:type="gram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включающий</w:t>
      </w:r>
      <w:proofErr w:type="gram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составление акта допуска прибора учета в эксплуатацию в порядке, предусмотренном </w:t>
      </w:r>
      <w:hyperlink r:id="rId9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Основными положениями</w:t>
        </w:r>
      </w:hyperlink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функционирования розничных рынков электрической энергии.</w:t>
      </w:r>
    </w:p>
    <w:p w:rsidR="00F7590C" w:rsidRPr="009941A5" w:rsidRDefault="00F7590C" w:rsidP="009941A5">
      <w:pPr>
        <w:pStyle w:val="a3"/>
        <w:numPr>
          <w:ilvl w:val="0"/>
          <w:numId w:val="2"/>
        </w:numPr>
        <w:tabs>
          <w:tab w:val="left" w:pos="634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</w:t>
      </w:r>
      <w:proofErr w:type="gram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Осмотр (обследование) присоединяемых </w:t>
      </w:r>
      <w:proofErr w:type="spell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энергопринимающих</w:t>
      </w:r>
      <w:proofErr w:type="spell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Правилами согласованию с таким субъектом оперативно-диспетчерского управления (для лиц, указанных в </w:t>
      </w:r>
      <w:hyperlink r:id="rId10" w:anchor="sub_4012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пункте 12</w:t>
        </w:r>
      </w:hyperlink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Правил, в случае осуществления технологического присоединения </w:t>
      </w:r>
      <w:proofErr w:type="spell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энергопринимающих</w:t>
      </w:r>
      <w:proofErr w:type="spell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устройств указанных Заявителей по третьей</w:t>
      </w:r>
      <w:proofErr w:type="gram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категории надежности (по одному источнику электроснабжения к электрическим сетям классом напряжения до 10 </w:t>
      </w:r>
      <w:proofErr w:type="spell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кВ</w:t>
      </w:r>
      <w:proofErr w:type="spell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включительно, а также для лиц, указанных в </w:t>
      </w:r>
      <w:hyperlink r:id="rId11" w:anchor="sub_4121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пунктах 12.1</w:t>
        </w:r>
      </w:hyperlink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, </w:t>
      </w:r>
      <w:hyperlink r:id="rId12" w:anchor="sub_4013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13</w:t>
        </w:r>
      </w:hyperlink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и </w:t>
      </w:r>
      <w:hyperlink r:id="rId13" w:anchor="sub_4014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14</w:t>
        </w:r>
      </w:hyperlink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Правил, осмотр присоединяемых электроустановок Заявителя, включая вводные распределительные устройства, должен осуществляться Сетевой организацией с участием Заявителя), с выдачей акта осмотра (обследования) </w:t>
      </w:r>
      <w:proofErr w:type="spell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энергопринимающих</w:t>
      </w:r>
      <w:proofErr w:type="spell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устройств Заявителя.</w:t>
      </w:r>
    </w:p>
    <w:p w:rsidR="00F7590C" w:rsidRPr="009941A5" w:rsidRDefault="00F7590C" w:rsidP="009941A5">
      <w:pPr>
        <w:pStyle w:val="a3"/>
        <w:numPr>
          <w:ilvl w:val="0"/>
          <w:numId w:val="2"/>
        </w:numPr>
        <w:tabs>
          <w:tab w:val="left" w:pos="634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Осуществление сетевой организацией фактического присоединения объектов заявителя к электрическим сетям. Для целей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энергопринимающих</w:t>
      </w:r>
      <w:proofErr w:type="spell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устройств) без осуществления фактической подачи (приема) напряжения и мощности на объекты заявителя (фиксация коммутационного ап</w:t>
      </w:r>
      <w:bookmarkStart w:id="6" w:name="sub_40742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парата в положении "отключено").</w:t>
      </w:r>
    </w:p>
    <w:p w:rsidR="00F7590C" w:rsidRPr="009941A5" w:rsidRDefault="00F7590C" w:rsidP="009941A5">
      <w:pPr>
        <w:pStyle w:val="a3"/>
        <w:numPr>
          <w:ilvl w:val="0"/>
          <w:numId w:val="2"/>
        </w:numPr>
        <w:tabs>
          <w:tab w:val="left" w:pos="634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 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</w:t>
      </w:r>
      <w:bookmarkEnd w:id="6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.</w:t>
      </w:r>
    </w:p>
    <w:p w:rsidR="00F7590C" w:rsidRDefault="00F7590C" w:rsidP="009941A5">
      <w:pPr>
        <w:pStyle w:val="a3"/>
        <w:numPr>
          <w:ilvl w:val="0"/>
          <w:numId w:val="2"/>
        </w:numPr>
        <w:tabs>
          <w:tab w:val="left" w:pos="634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proofErr w:type="gram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Составление акта об осуществлении технологического присоединения по форме согласно </w:t>
      </w:r>
      <w:hyperlink r:id="rId14" w:anchor="sub_46000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приложению N 1</w:t>
        </w:r>
      </w:hyperlink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Правил (далее - акт об осуществлении технологического присоединения), акта разграничения границ балансовой принадлежности сторон по форме согласно </w:t>
      </w:r>
      <w:hyperlink r:id="rId15" w:anchor="sub_47000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приложению N 2</w:t>
        </w:r>
      </w:hyperlink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Правил (далее - акт разграничения границ балансовой принадлежности сторон), акта разграничения эксплуатационной ответственности сторон по форме согласно </w:t>
      </w:r>
      <w:hyperlink r:id="rId16" w:anchor="sub_48000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приложению N 3</w:t>
        </w:r>
      </w:hyperlink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Правил (далее - акт разграничения эксплуатационной ответственности сторон), а также акта</w:t>
      </w:r>
      <w:proofErr w:type="gram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согласования технологической и (или) аварийной брони (для заявителей, указанных в </w:t>
      </w:r>
      <w:hyperlink r:id="rId17" w:anchor="sub_401402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пункте 14.2</w:t>
        </w:r>
      </w:hyperlink>
      <w:bookmarkStart w:id="7" w:name="sub_401625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Правил)</w:t>
      </w:r>
      <w:r w:rsidR="00F71A47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.</w:t>
      </w:r>
    </w:p>
    <w:p w:rsidR="00446F64" w:rsidRDefault="00446F64" w:rsidP="00446F64">
      <w:pPr>
        <w:pStyle w:val="a3"/>
        <w:tabs>
          <w:tab w:val="left" w:pos="634"/>
          <w:tab w:val="left" w:pos="851"/>
          <w:tab w:val="left" w:pos="984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</w:p>
    <w:p w:rsidR="00446F64" w:rsidRDefault="00446F64" w:rsidP="00446F64">
      <w:pPr>
        <w:pStyle w:val="a3"/>
        <w:tabs>
          <w:tab w:val="left" w:pos="634"/>
          <w:tab w:val="left" w:pos="851"/>
          <w:tab w:val="left" w:pos="984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</w:p>
    <w:p w:rsidR="00446F64" w:rsidRDefault="00446F64" w:rsidP="00446F64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</w:pPr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П.11 е 1) Подача заявки на технологическое присоединение </w:t>
      </w:r>
      <w:proofErr w:type="spellStart"/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>энергопринимающего</w:t>
      </w:r>
      <w:proofErr w:type="spellEnd"/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 устройства к сетям </w:t>
      </w:r>
      <w:r w:rsidR="00C3624C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br/>
      </w:r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>АО «</w:t>
      </w:r>
      <w:proofErr w:type="spellStart"/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>Саратовстройстекло</w:t>
      </w:r>
      <w:proofErr w:type="spellEnd"/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» можно осуществить путем обращения в </w:t>
      </w:r>
      <w:r w:rsidR="00C3624C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>цех 77</w:t>
      </w:r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 либо позвонив по телефону 305-5</w:t>
      </w:r>
      <w:r w:rsidR="00C3624C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>2</w:t>
      </w:r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>3,305-301.</w:t>
      </w:r>
    </w:p>
    <w:p w:rsidR="00446F64" w:rsidRPr="00446F64" w:rsidRDefault="00446F64" w:rsidP="00446F64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</w:pPr>
    </w:p>
    <w:p w:rsidR="00446F64" w:rsidRPr="00446F64" w:rsidRDefault="00446F64" w:rsidP="00446F64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</w:pPr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П.11 е 2)Об основных этапах обработки заявки на технологическое присоединение, включая информацию о дате поступления заявке и ее регистрационном номере, о направлении в адрес заявителя подписанного со стороны сетевой организации договора на </w:t>
      </w:r>
      <w:proofErr w:type="spellStart"/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>техприсоединение</w:t>
      </w:r>
      <w:proofErr w:type="spellEnd"/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>, о технических условиях, о ходе выполнения работ по технологическому присоединению и т.д. можно узн</w:t>
      </w:r>
      <w:r w:rsidR="00C3624C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>ать</w:t>
      </w:r>
      <w:proofErr w:type="gramStart"/>
      <w:r w:rsidR="00C3624C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 ,</w:t>
      </w:r>
      <w:proofErr w:type="gramEnd"/>
      <w:r w:rsidR="00C3624C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 позвонив по тел.: 305-301,305-523.</w:t>
      </w:r>
    </w:p>
    <w:bookmarkEnd w:id="7"/>
    <w:sectPr w:rsidR="00446F64" w:rsidRPr="0044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D6B"/>
    <w:multiLevelType w:val="hybridMultilevel"/>
    <w:tmpl w:val="3EA49FF8"/>
    <w:lvl w:ilvl="0" w:tplc="87461DA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>
    <w:nsid w:val="36E53DCC"/>
    <w:multiLevelType w:val="hybridMultilevel"/>
    <w:tmpl w:val="FF96C12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0C"/>
    <w:rsid w:val="003C576D"/>
    <w:rsid w:val="00446F64"/>
    <w:rsid w:val="00990328"/>
    <w:rsid w:val="009941A5"/>
    <w:rsid w:val="00AC6C09"/>
    <w:rsid w:val="00C3624C"/>
    <w:rsid w:val="00F7089C"/>
    <w:rsid w:val="00F71A47"/>
    <w:rsid w:val="00F7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s.ru/stand_2016_5.php" TargetMode="External"/><Relationship Id="rId13" Type="http://schemas.openxmlformats.org/officeDocument/2006/relationships/hyperlink" Target="http://www.spgs.ru/stand_2016_5.php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gs.ru/stand_2016_5.php" TargetMode="External"/><Relationship Id="rId12" Type="http://schemas.openxmlformats.org/officeDocument/2006/relationships/hyperlink" Target="http://www.spgs.ru/stand_2016_5.php" TargetMode="External"/><Relationship Id="rId17" Type="http://schemas.openxmlformats.org/officeDocument/2006/relationships/hyperlink" Target="http://www.spgs.ru/stand_2016_5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gs.ru/stand_2016_5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gs.ru/stand_2016_5.php" TargetMode="External"/><Relationship Id="rId11" Type="http://schemas.openxmlformats.org/officeDocument/2006/relationships/hyperlink" Target="http://www.spgs.ru/stand_2016_5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gs.ru/stand_2016_5.php" TargetMode="External"/><Relationship Id="rId10" Type="http://schemas.openxmlformats.org/officeDocument/2006/relationships/hyperlink" Target="http://www.spgs.ru/stand_2016_5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083216.1000/" TargetMode="External"/><Relationship Id="rId14" Type="http://schemas.openxmlformats.org/officeDocument/2006/relationships/hyperlink" Target="http://www.spgs.ru/stand_2016_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Тюкаева Наталья Александровна</cp:lastModifiedBy>
  <cp:revision>4</cp:revision>
  <dcterms:created xsi:type="dcterms:W3CDTF">2019-02-13T09:26:00Z</dcterms:created>
  <dcterms:modified xsi:type="dcterms:W3CDTF">2019-03-01T05:57:00Z</dcterms:modified>
</cp:coreProperties>
</file>